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Datenschutzhinweis — Acme Inc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Zuletzt aktualisiert: 2026-03-19</w:t>
      </w:r>
    </w:p>
    <w:p>
      <w:pPr>
        <w:ind w:left="720"/>
      </w:pPr>
      <w:r>
        <w:rPr>
          <w:i/>
          <w:color w:val="666666"/>
        </w:rPr>
        <w:t xml:space="preserve">Dies ist eine vereinfachte Datenschutzerklärung. Die vollständige rechtliche Datenschutzerklärung finden Sie in der [Privacy Policy](./PRIVACY_POLICY.md) (Englisch).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Was wir erfassen</w:t>
      </w:r>
    </w:p>
    <w:p>
      <w:pPr>
        <w:pStyle w:val="ListParagraph"/>
        <w:numPr>
          <w:ilvl w:val="0"/>
          <w:numId w:val="1"/>
        </w:numPr>
      </w:pPr>
      <w:r>
        <w:t xml:space="preserve">E-Mail-Adresse und Kontoinformationen bei Registrierung oder Anmeldung</w:t>
      </w:r>
    </w:p>
    <w:p>
      <w:pPr>
        <w:pStyle w:val="ListParagraph"/>
        <w:numPr>
          <w:ilvl w:val="0"/>
          <w:numId w:val="1"/>
        </w:numPr>
      </w:pPr>
      <w:r>
        <w:t xml:space="preserve">Zahlungsinformationen für Einkäufe (sicher verarbeitet)</w:t>
      </w:r>
    </w:p>
    <w:p>
      <w:pPr>
        <w:pStyle w:val="ListParagraph"/>
        <w:numPr>
          <w:ilvl w:val="0"/>
          <w:numId w:val="1"/>
        </w:numPr>
      </w:pPr>
      <w:r>
        <w:t xml:space="preserve">Nutzungsdaten (besuchte Seiten, verwendete Funktionen)</w:t>
      </w:r>
    </w:p>
    <w:p>
      <w:pPr>
        <w:pStyle w:val="ListParagraph"/>
        <w:numPr>
          <w:ilvl w:val="0"/>
          <w:numId w:val="1"/>
        </w:numPr>
      </w:pPr>
      <w:r>
        <w:t xml:space="preserve">Inhalte, die Sie KI-Funktionen bereitstellen (Texte, Dateien)</w:t>
      </w:r>
    </w:p>
    <w:p>
      <w:pPr>
        <w:pStyle w:val="ListParagraph"/>
        <w:numPr>
          <w:ilvl w:val="0"/>
          <w:numId w:val="1"/>
        </w:numPr>
      </w:pPr>
      <w:r>
        <w:t xml:space="preserve">Technische Informationen wie Gerätetyp und Fehlerberichte</w:t>
      </w:r>
    </w:p>
    <w:p>
      <w:pPr>
        <w:pStyle w:val="ListParagraph"/>
        <w:numPr>
          <w:ilvl w:val="0"/>
          <w:numId w:val="1"/>
        </w:numPr>
      </w:pPr>
      <w:r>
        <w:t xml:space="preserve">E-Mail-Adresse für Kontobenachrichtigungen</w:t>
      </w:r>
    </w:p>
    <w:p>
      <w:pPr>
        <w:pStyle w:val="Heading2"/>
      </w:pPr>
      <w:r>
        <w:t>Warum wir Daten erfassen</w:t>
      </w:r>
    </w:p>
    <w:p>
      <w:pPr>
        <w:pStyle w:val="ListParagraph"/>
        <w:numPr>
          <w:ilvl w:val="0"/>
          <w:numId w:val="1"/>
        </w:numPr>
      </w:pPr>
      <w:r>
        <w:t xml:space="preserve">Bereitstellung und Betrieb unseres Dienstes</w:t>
      </w:r>
    </w:p>
    <w:p>
      <w:pPr>
        <w:pStyle w:val="ListParagraph"/>
        <w:numPr>
          <w:ilvl w:val="0"/>
          <w:numId w:val="1"/>
        </w:numPr>
      </w:pPr>
      <w:r>
        <w:t xml:space="preserve">Zahlungen verarbeiten</w:t>
      </w:r>
    </w:p>
    <w:p>
      <w:pPr>
        <w:pStyle w:val="ListParagraph"/>
        <w:numPr>
          <w:ilvl w:val="0"/>
          <w:numId w:val="1"/>
        </w:numPr>
      </w:pPr>
      <w:r>
        <w:t xml:space="preserve">Nutzungsmuster verstehen und das Produkt verbessern</w:t>
      </w:r>
    </w:p>
    <w:p>
      <w:pPr>
        <w:pStyle w:val="ListParagraph"/>
        <w:numPr>
          <w:ilvl w:val="0"/>
          <w:numId w:val="1"/>
        </w:numPr>
      </w:pPr>
      <w:r>
        <w:t xml:space="preserve">KI-Funktionen bereitstellen, die Sie nutzen</w:t>
      </w:r>
    </w:p>
    <w:p>
      <w:pPr>
        <w:pStyle w:val="ListParagraph"/>
        <w:numPr>
          <w:ilvl w:val="0"/>
          <w:numId w:val="1"/>
        </w:numPr>
      </w:pPr>
      <w:r>
        <w:t xml:space="preserve">Technische Probleme finden und beheben</w:t>
      </w:r>
    </w:p>
    <w:p>
      <w:pPr>
        <w:pStyle w:val="Heading2"/>
      </w:pPr>
      <w:r>
        <w:t>Mit wem wir Daten teilen</w:t>
      </w:r>
    </w:p>
    <w:p>
      <w:pPr>
        <w:pStyle w:val="ListParagraph"/>
        <w:numPr>
          <w:ilvl w:val="0"/>
          <w:numId w:val="1"/>
        </w:numPr>
      </w:pPr>
      <w:r>
        <w:t xml:space="preserve">Dienstleister: @sentry/node, @supabase/supabase-js, openai, posthog, prisma +3</w:t>
      </w:r>
    </w:p>
    <w:p>
      <w:pPr>
        <w:pStyle w:val="ListParagraph"/>
        <w:numPr>
          <w:ilvl w:val="0"/>
          <w:numId w:val="1"/>
        </w:numPr>
      </w:pPr>
      <w:r>
        <w:t xml:space="preserve">Strafverfolgungsbehörden nur bei gesetzlicher Verpflichtung</w:t>
      </w:r>
    </w:p>
    <w:p>
      <w:r>
        <w:t xml:space="preserve">Wir verkaufen Ihre personenbezogenen Daten niemals.</w:t>
      </w:r>
    </w:p>
    <w:p>
      <w:pPr>
        <w:pStyle w:val="Heading2"/>
      </w:pPr>
      <w:r>
        <w:t>Ihre Rechte</w:t>
      </w:r>
    </w:p>
    <w:p>
      <w:pPr>
        <w:pStyle w:val="ListParagraph"/>
        <w:numPr>
          <w:ilvl w:val="0"/>
          <w:numId w:val="1"/>
        </w:numPr>
      </w:pPr>
      <w:r>
        <w:t xml:space="preserve">Auskunft über Ihre gespeicherten Daten verlangen</w:t>
      </w:r>
    </w:p>
    <w:p>
      <w:pPr>
        <w:pStyle w:val="ListParagraph"/>
        <w:numPr>
          <w:ilvl w:val="0"/>
          <w:numId w:val="1"/>
        </w:numPr>
      </w:pPr>
      <w:r>
        <w:t xml:space="preserve">Eine Kopie Ihrer Daten herunterladen</w:t>
      </w:r>
    </w:p>
    <w:p>
      <w:pPr>
        <w:pStyle w:val="ListParagraph"/>
        <w:numPr>
          <w:ilvl w:val="0"/>
          <w:numId w:val="1"/>
        </w:numPr>
      </w:pPr>
      <w:r>
        <w:t xml:space="preserve">Löschung Ihrer Daten beantragen</w:t>
      </w:r>
    </w:p>
    <w:p>
      <w:pPr>
        <w:pStyle w:val="ListParagraph"/>
        <w:numPr>
          <w:ilvl w:val="0"/>
          <w:numId w:val="1"/>
        </w:numPr>
      </w:pPr>
      <w:r>
        <w:t xml:space="preserve">Der nicht-wesentlichen Datenverarbeitung widersprechen</w:t>
      </w:r>
    </w:p>
    <w:p>
      <w:pPr>
        <w:pStyle w:val="ListParagraph"/>
        <w:numPr>
          <w:ilvl w:val="0"/>
          <w:numId w:val="1"/>
        </w:numPr>
      </w:pPr>
      <w:r>
        <w:t xml:space="preserve">Ihre Daten berichtigen lassen</w:t>
      </w:r>
    </w:p>
    <w:p>
      <w:pPr>
        <w:pStyle w:val="Heading2"/>
      </w:pPr>
      <w:r>
        <w:t>Kontakt</w:t>
      </w:r>
    </w:p>
    <w:p>
      <w:r>
        <w:t xml:space="preserve">legal@acme.com</w:t>
      </w:r>
    </w:p>
    <w:p>
      <w:pPr>
        <w:pStyle w:val="Heading2"/>
      </w:pPr>
      <w:r>
        <w:t>Weitere Informationen</w:t>
      </w:r>
    </w:p>
    <w:p>
      <w:pPr>
        <w:pStyle w:val="ListParagraph"/>
        <w:numPr>
          <w:ilvl w:val="0"/>
          <w:numId w:val="1"/>
        </w:numPr>
      </w:pPr>
      <w:r>
        <w:t xml:space="preserve">[Privacy Policy](./PRIVACY_POLICY.md) — Vollständige Datenschutzerklärung (Englisch)</w:t>
      </w:r>
    </w:p>
    <w:p>
      <w:pPr>
        <w:pStyle w:val="ListParagraph"/>
        <w:numPr>
          <w:ilvl w:val="0"/>
          <w:numId w:val="1"/>
        </w:numPr>
      </w:pPr>
      <w:r>
        <w:t xml:space="preserve">[Terms of Service](./TERMS_OF_SERVICE.md)</w:t>
      </w:r>
    </w:p>
    <w:p>
      <w:pPr>
        <w:pStyle w:val="ListParagraph"/>
        <w:numPr>
          <w:ilvl w:val="0"/>
          <w:numId w:val="1"/>
        </w:numPr>
      </w:pPr>
      <w:r>
        <w:t xml:space="preserve">[Security Policy](./SECURITY.md)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**Haftungsausschluss:** Dieser Datenschutzhinweis wurde automatisch von Codepliant auf Basis einer Quellcodeanalyse erstellt. Er sollte von einem qualifizierten Rechtsberater überprüft werden.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